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43A2" w:rsidRDefault="000443A2" w:rsidP="00D62F1C">
      <w:pPr>
        <w:pStyle w:val="1"/>
        <w:numPr>
          <w:ilvl w:val="0"/>
          <w:numId w:val="0"/>
        </w:numPr>
        <w:jc w:val="center"/>
      </w:pPr>
      <w:bookmarkStart w:id="0" w:name="_GoBack"/>
      <w:bookmarkEnd w:id="0"/>
      <w:r>
        <w:rPr>
          <w:sz w:val="32"/>
          <w:szCs w:val="32"/>
          <w:lang w:val="uk-UA"/>
        </w:rPr>
        <w:t xml:space="preserve">Електронні сервіси Пенсійного фонду України </w:t>
      </w:r>
      <w:r w:rsidR="00486198">
        <w:rPr>
          <w:sz w:val="32"/>
          <w:szCs w:val="32"/>
          <w:lang w:val="uk-UA"/>
        </w:rPr>
        <w:t>– як форма дистанційного отримання послуг</w:t>
      </w:r>
    </w:p>
    <w:p w:rsidR="000443A2" w:rsidRDefault="000C2082">
      <w:pPr>
        <w:pStyle w:val="cs9eb897a1"/>
        <w:spacing w:before="0" w:after="0"/>
        <w:ind w:firstLine="709"/>
        <w:jc w:val="both"/>
      </w:pPr>
      <w:r>
        <w:rPr>
          <w:rStyle w:val="cs23fb0664"/>
          <w:sz w:val="28"/>
          <w:szCs w:val="28"/>
          <w:lang w:val="uk-UA"/>
        </w:rPr>
        <w:t>У</w:t>
      </w:r>
      <w:r w:rsidR="000443A2">
        <w:rPr>
          <w:rStyle w:val="cs23fb0664"/>
          <w:sz w:val="28"/>
          <w:szCs w:val="28"/>
          <w:lang w:val="uk-UA"/>
        </w:rPr>
        <w:t>досконалення системи обслуговування відвідувачів, це одне з  головних завдань, яке ставить перед собою Пенсійний фонд України.</w:t>
      </w:r>
    </w:p>
    <w:p w:rsidR="000443A2" w:rsidRDefault="000443A2">
      <w:pPr>
        <w:pStyle w:val="cs9eb897a1"/>
        <w:spacing w:before="0" w:after="0"/>
        <w:ind w:firstLine="709"/>
        <w:jc w:val="both"/>
      </w:pPr>
      <w:r>
        <w:rPr>
          <w:rStyle w:val="cs23fb0664"/>
          <w:sz w:val="28"/>
          <w:szCs w:val="28"/>
          <w:lang w:val="uk-UA"/>
        </w:rPr>
        <w:t>Одним з важливих досягнень у цьому напрямку є можливість  дистанційного отримання послуг за допомогою сучасних електронних сервісів.</w:t>
      </w:r>
    </w:p>
    <w:p w:rsidR="000443A2" w:rsidRDefault="000443A2">
      <w:pPr>
        <w:pStyle w:val="ab"/>
        <w:spacing w:before="0" w:after="0"/>
        <w:ind w:firstLine="709"/>
        <w:jc w:val="both"/>
        <w:rPr>
          <w:rStyle w:val="cs23fb0664"/>
          <w:sz w:val="28"/>
          <w:szCs w:val="28"/>
          <w:lang w:val="uk-UA"/>
        </w:rPr>
      </w:pPr>
      <w:r>
        <w:rPr>
          <w:rStyle w:val="cs23fb0664"/>
          <w:sz w:val="28"/>
          <w:szCs w:val="28"/>
          <w:lang w:val="uk-UA"/>
        </w:rPr>
        <w:t xml:space="preserve">Щоб скористатись електронними сервісами необхідно авторизуватись на вебпорталі Пенсійного фонду України за адресою </w:t>
      </w:r>
      <w:hyperlink r:id="rId7" w:history="1">
        <w:r>
          <w:rPr>
            <w:rStyle w:val="a7"/>
            <w:sz w:val="28"/>
            <w:szCs w:val="28"/>
            <w:lang w:val="uk-UA"/>
          </w:rPr>
          <w:t>https://portal.pfu.gov.ua</w:t>
        </w:r>
      </w:hyperlink>
    </w:p>
    <w:p w:rsidR="000443A2" w:rsidRPr="00486198" w:rsidRDefault="000443A2">
      <w:pPr>
        <w:pStyle w:val="ab"/>
        <w:spacing w:before="0" w:after="0"/>
        <w:ind w:firstLine="709"/>
        <w:jc w:val="both"/>
        <w:rPr>
          <w:lang w:val="uk-UA"/>
        </w:rPr>
      </w:pPr>
      <w:r>
        <w:rPr>
          <w:rStyle w:val="cs23fb0664"/>
          <w:sz w:val="28"/>
          <w:szCs w:val="28"/>
          <w:lang w:val="uk-UA"/>
        </w:rPr>
        <w:t xml:space="preserve">Одним з таких сервісів є </w:t>
      </w:r>
      <w:r>
        <w:rPr>
          <w:rStyle w:val="cs102784"/>
          <w:sz w:val="28"/>
          <w:szCs w:val="28"/>
          <w:lang w:val="uk-UA"/>
        </w:rPr>
        <w:t>«Пенсійний калькулятор», який</w:t>
      </w:r>
      <w:r>
        <w:rPr>
          <w:rStyle w:val="cs23fb0664"/>
          <w:sz w:val="28"/>
          <w:szCs w:val="28"/>
          <w:lang w:val="uk-UA"/>
        </w:rPr>
        <w:t xml:space="preserve"> забезпечує користувачу можливість самостійно розрахувати розмір майбутньої пенсії за віком за даними про страховий стаж та заробітну плату, що містить</w:t>
      </w:r>
      <w:r w:rsidR="000C2082">
        <w:rPr>
          <w:rStyle w:val="cs23fb0664"/>
          <w:sz w:val="28"/>
          <w:szCs w:val="28"/>
          <w:lang w:val="uk-UA"/>
        </w:rPr>
        <w:t>ся в Реєстрі застрахованих осіб. П</w:t>
      </w:r>
      <w:r>
        <w:rPr>
          <w:rStyle w:val="cs23fb0664"/>
          <w:sz w:val="28"/>
          <w:szCs w:val="28"/>
          <w:lang w:val="uk-UA"/>
        </w:rPr>
        <w:t>ри цьому сервіс дозволяє введення у руч</w:t>
      </w:r>
      <w:r w:rsidR="00486198">
        <w:rPr>
          <w:rStyle w:val="cs23fb0664"/>
          <w:sz w:val="28"/>
          <w:szCs w:val="28"/>
          <w:lang w:val="uk-UA"/>
        </w:rPr>
        <w:t>ному режимі періодів трудового</w:t>
      </w:r>
      <w:r>
        <w:rPr>
          <w:rStyle w:val="cs23fb0664"/>
          <w:sz w:val="28"/>
          <w:szCs w:val="28"/>
          <w:lang w:val="uk-UA"/>
        </w:rPr>
        <w:t xml:space="preserve"> стажу та інших періодів, що враховуються до стажу роботи для призначення пенсії.</w:t>
      </w:r>
    </w:p>
    <w:p w:rsidR="000443A2" w:rsidRDefault="000443A2">
      <w:pPr>
        <w:pStyle w:val="cs9eb897a1"/>
        <w:spacing w:before="0" w:after="0"/>
        <w:ind w:firstLine="709"/>
        <w:jc w:val="both"/>
      </w:pPr>
      <w:r>
        <w:rPr>
          <w:rStyle w:val="cs23fb0664"/>
          <w:sz w:val="28"/>
          <w:szCs w:val="28"/>
          <w:lang w:val="uk-UA"/>
        </w:rPr>
        <w:t>Сервіс «</w:t>
      </w:r>
      <w:r>
        <w:rPr>
          <w:rStyle w:val="cs102784"/>
          <w:sz w:val="28"/>
          <w:szCs w:val="28"/>
          <w:lang w:val="uk-UA"/>
        </w:rPr>
        <w:t xml:space="preserve">Електронна трудова книжка» </w:t>
      </w:r>
      <w:r>
        <w:rPr>
          <w:rStyle w:val="cs23fb0664"/>
          <w:sz w:val="28"/>
          <w:szCs w:val="28"/>
          <w:lang w:val="uk-UA"/>
        </w:rPr>
        <w:t>забезпечує застрахованим особам можливість перегляду списку записів електронної трудової книжки відповідно до даних Реєстру застрахованих осіб. По кожному запису на</w:t>
      </w:r>
      <w:r w:rsidR="00486198">
        <w:rPr>
          <w:rStyle w:val="cs23fb0664"/>
          <w:sz w:val="28"/>
          <w:szCs w:val="28"/>
          <w:lang w:val="uk-UA"/>
        </w:rPr>
        <w:t>дано можливість отримання більш</w:t>
      </w:r>
      <w:r>
        <w:rPr>
          <w:rStyle w:val="cs23fb0664"/>
          <w:sz w:val="28"/>
          <w:szCs w:val="28"/>
          <w:lang w:val="uk-UA"/>
        </w:rPr>
        <w:t xml:space="preserve"> детальної інформації шляхом розгортання запису трудової книжки. До списку записів електронної трудової книжки входять записи за основним місцем роботи, тобто з ознакою «найманий працівник».</w:t>
      </w:r>
    </w:p>
    <w:p w:rsidR="000443A2" w:rsidRDefault="000443A2">
      <w:pPr>
        <w:pStyle w:val="a0"/>
        <w:spacing w:after="0" w:line="240" w:lineRule="auto"/>
        <w:ind w:firstLine="709"/>
        <w:jc w:val="both"/>
      </w:pPr>
      <w:r>
        <w:rPr>
          <w:rStyle w:val="cs23fb0664"/>
          <w:color w:val="191919"/>
          <w:sz w:val="28"/>
          <w:szCs w:val="28"/>
          <w:shd w:val="clear" w:color="auto" w:fill="FFFFFF"/>
          <w:lang w:val="uk-UA"/>
        </w:rPr>
        <w:t>Особливу увагу хочеться приділити сервісу д</w:t>
      </w:r>
      <w:r>
        <w:rPr>
          <w:sz w:val="28"/>
          <w:szCs w:val="28"/>
          <w:lang w:val="uk-UA"/>
        </w:rPr>
        <w:t>ля потенційних майбутніх пенсіонерів «Автоматичне призначення пенсій». Особам, які скористуються даним сервісом, немає необхідності особисто відвідувати територіальні органи Пенсійного фонду, адже пенсія у такому разі буде призначена автоматично на підставі документів</w:t>
      </w:r>
      <w:r w:rsidR="000C208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поданих за допомогою вебпорталу електронних послуг Пенсійного фонду України.</w:t>
      </w:r>
    </w:p>
    <w:p w:rsidR="000443A2" w:rsidRDefault="000443A2">
      <w:pPr>
        <w:ind w:firstLine="709"/>
        <w:jc w:val="both"/>
      </w:pPr>
      <w:r>
        <w:rPr>
          <w:sz w:val="28"/>
          <w:szCs w:val="28"/>
          <w:lang w:val="uk-UA"/>
        </w:rPr>
        <w:t>Сервіс дає можливість заздалегідь подбати про свою соціальну захищеність та надати всю необхідну інформацію для призначення пенсії завчасно, незалежно від часу настання пенсійного віку.</w:t>
      </w:r>
    </w:p>
    <w:p w:rsidR="000443A2" w:rsidRDefault="000443A2">
      <w:pPr>
        <w:pStyle w:val="ab"/>
        <w:spacing w:before="0" w:after="0"/>
        <w:ind w:firstLine="709"/>
        <w:jc w:val="both"/>
      </w:pPr>
      <w:r>
        <w:rPr>
          <w:sz w:val="28"/>
          <w:szCs w:val="28"/>
          <w:lang w:val="uk-UA"/>
        </w:rPr>
        <w:t>Після авторизації в особистому кабінеті застрахованої особи стане доступна вкладка «Анкета-заява для автопризначення пенсії». При переході на зазначену вкладку надається детальна інструкція по заповненню анкети-заяви.</w:t>
      </w:r>
    </w:p>
    <w:p w:rsidR="000443A2" w:rsidRDefault="000443A2">
      <w:pPr>
        <w:pStyle w:val="ab"/>
        <w:spacing w:before="0" w:after="0"/>
        <w:ind w:firstLine="709"/>
        <w:jc w:val="both"/>
      </w:pPr>
      <w:r>
        <w:rPr>
          <w:sz w:val="28"/>
          <w:szCs w:val="28"/>
          <w:lang w:val="uk-UA"/>
        </w:rPr>
        <w:t>Деякі поля анкети будуть заповнені автоматично за даними про особу, які вже наявні на вебпорталі, а деяку інформацію необхідно додати в ручному режимі. Коли анкета сформована, до неї необхідно долучити скановані документи, що підтверджують набутий трудовий стаж та документи, які ідентифікують особу.</w:t>
      </w:r>
    </w:p>
    <w:p w:rsidR="000443A2" w:rsidRDefault="000443A2">
      <w:pPr>
        <w:pStyle w:val="ab"/>
        <w:spacing w:before="0" w:after="0"/>
        <w:ind w:firstLine="709"/>
        <w:jc w:val="both"/>
      </w:pPr>
      <w:r>
        <w:rPr>
          <w:sz w:val="28"/>
          <w:szCs w:val="28"/>
          <w:lang w:val="uk-UA"/>
        </w:rPr>
        <w:t xml:space="preserve">Підтвердженням того, що особа виявила бажання подати документи для призначення пенсії в автоматичному режимі, є згода на обробку персональних даних. </w:t>
      </w:r>
    </w:p>
    <w:p w:rsidR="000443A2" w:rsidRDefault="000443A2">
      <w:pPr>
        <w:pStyle w:val="ab"/>
        <w:spacing w:before="0" w:after="0"/>
        <w:ind w:firstLine="709"/>
        <w:jc w:val="both"/>
      </w:pPr>
      <w:r>
        <w:rPr>
          <w:sz w:val="28"/>
          <w:szCs w:val="28"/>
          <w:lang w:val="uk-UA"/>
        </w:rPr>
        <w:t>Документи для призначення пенсії, подані через особистий кабінет на вебпорталі електронних послуг Пенсійного фонду України, засвідчуються кваліфікованим електронним підписом або системою GOV ID.</w:t>
      </w:r>
    </w:p>
    <w:p w:rsidR="000443A2" w:rsidRDefault="000443A2">
      <w:pPr>
        <w:pStyle w:val="ab"/>
        <w:spacing w:before="0" w:after="0"/>
        <w:ind w:firstLine="709"/>
        <w:jc w:val="both"/>
      </w:pPr>
      <w:r>
        <w:rPr>
          <w:sz w:val="28"/>
          <w:szCs w:val="28"/>
          <w:lang w:val="uk-UA"/>
        </w:rPr>
        <w:lastRenderedPageBreak/>
        <w:t>Результати опрацювання заяви можна побачити у вкладці «Мої повідомлення».</w:t>
      </w:r>
    </w:p>
    <w:p w:rsidR="000443A2" w:rsidRDefault="000443A2">
      <w:pPr>
        <w:pStyle w:val="ab"/>
        <w:spacing w:before="0" w:after="0"/>
        <w:ind w:firstLine="709"/>
        <w:jc w:val="both"/>
      </w:pPr>
      <w:r>
        <w:rPr>
          <w:rStyle w:val="cs23fb0664"/>
          <w:sz w:val="28"/>
          <w:szCs w:val="28"/>
          <w:lang w:val="uk-UA"/>
        </w:rPr>
        <w:t>Складові сформованої електронної пенсійної справи стануть доступні на вебпорталі у розділі «Моя пенсія» після того, як особа набуде статусу пенсіонера, тобто досягне пенсійного віку.</w:t>
      </w:r>
    </w:p>
    <w:p w:rsidR="000C2082" w:rsidRDefault="000C2082">
      <w:pPr>
        <w:pStyle w:val="ab"/>
        <w:spacing w:before="0" w:after="0"/>
        <w:ind w:firstLine="709"/>
        <w:jc w:val="both"/>
        <w:rPr>
          <w:rStyle w:val="cs23fb0664"/>
          <w:sz w:val="28"/>
          <w:szCs w:val="28"/>
        </w:rPr>
      </w:pPr>
      <w:r>
        <w:rPr>
          <w:rStyle w:val="cs23fb0664"/>
          <w:sz w:val="28"/>
          <w:szCs w:val="28"/>
          <w:lang w:val="uk-UA"/>
        </w:rPr>
        <w:t>Також</w:t>
      </w:r>
      <w:r w:rsidR="000443A2">
        <w:rPr>
          <w:rStyle w:val="cs23fb0664"/>
          <w:sz w:val="28"/>
          <w:szCs w:val="28"/>
          <w:lang w:val="uk-UA"/>
        </w:rPr>
        <w:t xml:space="preserve"> на </w:t>
      </w:r>
      <w:r w:rsidR="000443A2">
        <w:rPr>
          <w:rStyle w:val="cs102784"/>
          <w:sz w:val="28"/>
          <w:szCs w:val="28"/>
          <w:lang w:val="uk-UA"/>
        </w:rPr>
        <w:t>вебпорталі електронних послуг Пенсійного фонду України</w:t>
      </w:r>
      <w:r w:rsidR="000443A2">
        <w:rPr>
          <w:rStyle w:val="cs23fb0664"/>
          <w:sz w:val="28"/>
          <w:szCs w:val="28"/>
          <w:lang w:val="uk-UA"/>
        </w:rPr>
        <w:t xml:space="preserve"> користувачам надана можливість</w:t>
      </w:r>
      <w:r w:rsidRPr="000C2082">
        <w:rPr>
          <w:rStyle w:val="cs23fb0664"/>
          <w:sz w:val="28"/>
          <w:szCs w:val="28"/>
        </w:rPr>
        <w:t>:</w:t>
      </w:r>
    </w:p>
    <w:p w:rsidR="00506B0F" w:rsidRPr="00506B0F" w:rsidRDefault="000443A2" w:rsidP="00506B0F">
      <w:pPr>
        <w:pStyle w:val="ab"/>
        <w:numPr>
          <w:ilvl w:val="0"/>
          <w:numId w:val="2"/>
        </w:numPr>
        <w:spacing w:before="0" w:after="0"/>
        <w:ind w:left="0" w:firstLine="709"/>
        <w:jc w:val="both"/>
        <w:rPr>
          <w:rStyle w:val="cs23fb0664"/>
        </w:rPr>
      </w:pPr>
      <w:r>
        <w:rPr>
          <w:rStyle w:val="cs23fb0664"/>
          <w:sz w:val="28"/>
          <w:szCs w:val="28"/>
          <w:lang w:val="uk-UA"/>
        </w:rPr>
        <w:t xml:space="preserve"> отрим</w:t>
      </w:r>
      <w:r w:rsidR="000C2082">
        <w:rPr>
          <w:rStyle w:val="cs23fb0664"/>
          <w:sz w:val="28"/>
          <w:szCs w:val="28"/>
          <w:lang w:val="uk-UA"/>
        </w:rPr>
        <w:t>увати довід</w:t>
      </w:r>
      <w:r>
        <w:rPr>
          <w:rStyle w:val="cs23fb0664"/>
          <w:sz w:val="28"/>
          <w:szCs w:val="28"/>
          <w:lang w:val="uk-UA"/>
        </w:rPr>
        <w:t>к</w:t>
      </w:r>
      <w:r w:rsidR="000C2082">
        <w:rPr>
          <w:rStyle w:val="cs23fb0664"/>
          <w:sz w:val="28"/>
          <w:szCs w:val="28"/>
          <w:lang w:val="uk-UA"/>
        </w:rPr>
        <w:t>и</w:t>
      </w:r>
      <w:r>
        <w:rPr>
          <w:rStyle w:val="cs23fb0664"/>
          <w:sz w:val="28"/>
          <w:szCs w:val="28"/>
          <w:lang w:val="uk-UA"/>
        </w:rPr>
        <w:t>, достовірність яких підтверджується QR-кодом (форма ОК-5, ОК-7, дані про трудовий та страховий стаж, витяг із реєстру застрахованих осіб, дові</w:t>
      </w:r>
      <w:r w:rsidR="00506B0F">
        <w:rPr>
          <w:rStyle w:val="cs23fb0664"/>
          <w:sz w:val="28"/>
          <w:szCs w:val="28"/>
          <w:lang w:val="uk-UA"/>
        </w:rPr>
        <w:t>дка про розмір пенсії та інші);</w:t>
      </w:r>
    </w:p>
    <w:p w:rsidR="00506B0F" w:rsidRPr="00506B0F" w:rsidRDefault="000443A2" w:rsidP="00506B0F">
      <w:pPr>
        <w:pStyle w:val="ab"/>
        <w:numPr>
          <w:ilvl w:val="0"/>
          <w:numId w:val="2"/>
        </w:numPr>
        <w:spacing w:before="0" w:after="0"/>
        <w:ind w:left="0" w:firstLine="709"/>
        <w:jc w:val="both"/>
        <w:rPr>
          <w:rStyle w:val="cs23fb0664"/>
        </w:rPr>
      </w:pPr>
      <w:r>
        <w:rPr>
          <w:rStyle w:val="cs23fb0664"/>
          <w:sz w:val="28"/>
          <w:szCs w:val="28"/>
          <w:lang w:val="uk-UA"/>
        </w:rPr>
        <w:t>отрим</w:t>
      </w:r>
      <w:r w:rsidR="00506B0F">
        <w:rPr>
          <w:rStyle w:val="cs23fb0664"/>
          <w:sz w:val="28"/>
          <w:szCs w:val="28"/>
          <w:lang w:val="uk-UA"/>
        </w:rPr>
        <w:t>увати</w:t>
      </w:r>
      <w:r>
        <w:rPr>
          <w:rStyle w:val="cs23fb0664"/>
          <w:sz w:val="28"/>
          <w:szCs w:val="28"/>
          <w:lang w:val="uk-UA"/>
        </w:rPr>
        <w:t xml:space="preserve"> застрахованими особами че</w:t>
      </w:r>
      <w:r w:rsidR="00506B0F">
        <w:rPr>
          <w:rStyle w:val="cs23fb0664"/>
          <w:sz w:val="28"/>
          <w:szCs w:val="28"/>
          <w:lang w:val="uk-UA"/>
        </w:rPr>
        <w:t>рез особистий кабінет інформацію</w:t>
      </w:r>
      <w:r>
        <w:rPr>
          <w:rStyle w:val="cs23fb0664"/>
          <w:sz w:val="28"/>
          <w:szCs w:val="28"/>
          <w:lang w:val="uk-UA"/>
        </w:rPr>
        <w:t xml:space="preserve"> про страховий стаж та щомісячні відрахування єдиного соціального внеску роботодавцем; </w:t>
      </w:r>
    </w:p>
    <w:p w:rsidR="00506B0F" w:rsidRPr="00506B0F" w:rsidRDefault="000443A2" w:rsidP="00506B0F">
      <w:pPr>
        <w:pStyle w:val="ab"/>
        <w:numPr>
          <w:ilvl w:val="0"/>
          <w:numId w:val="2"/>
        </w:numPr>
        <w:spacing w:before="0" w:after="0"/>
        <w:ind w:left="0" w:firstLine="709"/>
        <w:jc w:val="both"/>
        <w:rPr>
          <w:rStyle w:val="cs23fb0664"/>
        </w:rPr>
      </w:pPr>
      <w:r>
        <w:rPr>
          <w:rStyle w:val="cs23fb0664"/>
          <w:sz w:val="28"/>
          <w:szCs w:val="28"/>
          <w:lang w:val="uk-UA"/>
        </w:rPr>
        <w:t>пода</w:t>
      </w:r>
      <w:r w:rsidR="00506B0F">
        <w:rPr>
          <w:rStyle w:val="cs23fb0664"/>
          <w:sz w:val="28"/>
          <w:szCs w:val="28"/>
          <w:lang w:val="uk-UA"/>
        </w:rPr>
        <w:t>вати Анкету</w:t>
      </w:r>
      <w:r>
        <w:rPr>
          <w:rStyle w:val="cs23fb0664"/>
          <w:sz w:val="28"/>
          <w:szCs w:val="28"/>
          <w:lang w:val="uk-UA"/>
        </w:rPr>
        <w:t xml:space="preserve"> застрахованої особи для внесення/зміни/уточнення даних в Реєстр(і) застрахованих осіб; </w:t>
      </w:r>
    </w:p>
    <w:p w:rsidR="00506B0F" w:rsidRPr="00506B0F" w:rsidRDefault="000443A2" w:rsidP="00506B0F">
      <w:pPr>
        <w:pStyle w:val="ab"/>
        <w:numPr>
          <w:ilvl w:val="0"/>
          <w:numId w:val="2"/>
        </w:numPr>
        <w:spacing w:before="0" w:after="0"/>
        <w:ind w:left="0" w:firstLine="709"/>
        <w:jc w:val="both"/>
        <w:rPr>
          <w:rStyle w:val="cs23fb0664"/>
        </w:rPr>
      </w:pPr>
      <w:r>
        <w:rPr>
          <w:rStyle w:val="cs23fb0664"/>
          <w:sz w:val="28"/>
          <w:szCs w:val="28"/>
          <w:lang w:val="uk-UA"/>
        </w:rPr>
        <w:t>пода</w:t>
      </w:r>
      <w:r w:rsidR="00506B0F">
        <w:rPr>
          <w:rStyle w:val="cs23fb0664"/>
          <w:sz w:val="28"/>
          <w:szCs w:val="28"/>
          <w:lang w:val="uk-UA"/>
        </w:rPr>
        <w:t>вати заяву</w:t>
      </w:r>
      <w:r>
        <w:rPr>
          <w:rStyle w:val="cs23fb0664"/>
          <w:sz w:val="28"/>
          <w:szCs w:val="28"/>
          <w:lang w:val="uk-UA"/>
        </w:rPr>
        <w:t xml:space="preserve"> на виготовлення електронного пенсійного посвідчення; </w:t>
      </w:r>
    </w:p>
    <w:p w:rsidR="000443A2" w:rsidRPr="000C2082" w:rsidRDefault="000443A2" w:rsidP="00506B0F">
      <w:pPr>
        <w:pStyle w:val="ab"/>
        <w:numPr>
          <w:ilvl w:val="0"/>
          <w:numId w:val="2"/>
        </w:numPr>
        <w:spacing w:before="0" w:after="0"/>
        <w:ind w:left="0" w:firstLine="709"/>
        <w:jc w:val="both"/>
      </w:pPr>
      <w:r>
        <w:rPr>
          <w:rStyle w:val="cs23fb0664"/>
          <w:sz w:val="28"/>
          <w:szCs w:val="28"/>
          <w:lang w:val="uk-UA"/>
        </w:rPr>
        <w:t>налаштува</w:t>
      </w:r>
      <w:r w:rsidR="00506B0F">
        <w:rPr>
          <w:rStyle w:val="cs23fb0664"/>
          <w:sz w:val="28"/>
          <w:szCs w:val="28"/>
          <w:lang w:val="uk-UA"/>
        </w:rPr>
        <w:t>ти</w:t>
      </w:r>
      <w:r>
        <w:rPr>
          <w:rStyle w:val="cs23fb0664"/>
          <w:sz w:val="28"/>
          <w:szCs w:val="28"/>
          <w:lang w:val="uk-UA"/>
        </w:rPr>
        <w:t xml:space="preserve"> послуги безкоштовного СМС-інформування (щодо призначення/перерахунку пенсії; сплати страхових внесків роботодавцем та страхового стажу особи).</w:t>
      </w:r>
    </w:p>
    <w:p w:rsidR="000443A2" w:rsidRDefault="000443A2">
      <w:pPr>
        <w:pStyle w:val="cs9eb897a1"/>
        <w:spacing w:before="0" w:after="0"/>
        <w:ind w:firstLine="709"/>
        <w:jc w:val="both"/>
      </w:pPr>
      <w:r>
        <w:rPr>
          <w:rStyle w:val="cs23fb0664"/>
          <w:sz w:val="28"/>
          <w:szCs w:val="28"/>
          <w:lang w:val="uk-UA"/>
        </w:rPr>
        <w:t xml:space="preserve">Крім того, функціонує </w:t>
      </w:r>
      <w:r>
        <w:rPr>
          <w:rStyle w:val="cs102784"/>
          <w:sz w:val="28"/>
          <w:szCs w:val="28"/>
          <w:lang w:val="uk-UA"/>
        </w:rPr>
        <w:t>кабінет страхувальника</w:t>
      </w:r>
      <w:r>
        <w:rPr>
          <w:rStyle w:val="cs23fb0664"/>
          <w:sz w:val="28"/>
          <w:szCs w:val="28"/>
          <w:lang w:val="uk-UA"/>
        </w:rPr>
        <w:t>, через який можна отримати інформацію стосовно сплати єдиного соціального внеску, в тому числі щодо заборгованості підприємства з цього виду платежу, зауваження до звітності, а також електронні «Довідки про трудовий та страховий стаж» працівників для розрахунку суми виплати за час тимчасової непрацездатності.</w:t>
      </w:r>
    </w:p>
    <w:p w:rsidR="00486198" w:rsidRDefault="004414EF">
      <w:pPr>
        <w:pStyle w:val="cs9eb897a1"/>
        <w:spacing w:before="0" w:after="0"/>
        <w:ind w:firstLine="709"/>
        <w:jc w:val="both"/>
        <w:rPr>
          <w:lang w:val="uk-UA"/>
        </w:rPr>
      </w:pPr>
      <w:r>
        <w:rPr>
          <w:rStyle w:val="cs23fb0664"/>
          <w:sz w:val="28"/>
          <w:szCs w:val="28"/>
          <w:lang w:val="uk-UA"/>
        </w:rPr>
        <w:t>Сервіс М</w:t>
      </w:r>
      <w:r w:rsidR="000443A2">
        <w:rPr>
          <w:rStyle w:val="cs102784"/>
          <w:sz w:val="28"/>
          <w:szCs w:val="28"/>
          <w:lang w:val="uk-UA"/>
        </w:rPr>
        <w:t xml:space="preserve">обільний додаток «Пенсійний фонд» </w:t>
      </w:r>
      <w:r w:rsidR="000443A2">
        <w:rPr>
          <w:rStyle w:val="cs23fb0664"/>
          <w:sz w:val="28"/>
          <w:szCs w:val="28"/>
          <w:lang w:val="uk-UA"/>
        </w:rPr>
        <w:t>забезпечує користувачу доступ до електронних сервісів Пенсійного фонду України у зручному форматі. Завантаживши мобільний додаток на смартфоні або планшеті можливо переглянути відомості з Реєстру застрахованих осіб для застрахованих осіб, переглянути відомості з електронної пенсійної справи для пенсіонерів, переглянути стан опрацювання звернень до Пенсійного фонду України; верифікувати документи, довідки, сформовані в особистому електронному кабінеті; отримати та переглянути повідомлення від Пенсійного фонду України; отримати довідки, за формою ОК-5 (ОК-7) та ін.; подати заяви на призначення пенсії; подати документи на допризначення пенсії. Завантажити додаток можна за допомогою сервісів: play.google.com, apps-store.</w:t>
      </w:r>
    </w:p>
    <w:p w:rsidR="00486198" w:rsidRPr="00486198" w:rsidRDefault="00D62F1C" w:rsidP="004414EF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Завершуючи матеріал про електронні сервіси, хочу звернути увагу, що</w:t>
      </w:r>
      <w:r w:rsidR="004414EF">
        <w:rPr>
          <w:sz w:val="28"/>
          <w:szCs w:val="28"/>
          <w:lang w:val="uk-UA"/>
        </w:rPr>
        <w:t xml:space="preserve"> </w:t>
      </w:r>
      <w:r w:rsidR="004414EF">
        <w:rPr>
          <w:sz w:val="28"/>
          <w:szCs w:val="28"/>
        </w:rPr>
        <w:t>п</w:t>
      </w:r>
      <w:r w:rsidR="004414EF" w:rsidRPr="004414EF">
        <w:rPr>
          <w:sz w:val="28"/>
          <w:szCs w:val="28"/>
        </w:rPr>
        <w:t xml:space="preserve">ід час дії карантину </w:t>
      </w:r>
      <w:r>
        <w:rPr>
          <w:sz w:val="28"/>
          <w:szCs w:val="28"/>
          <w:lang w:val="uk-UA"/>
        </w:rPr>
        <w:t>отримувати послуги дистанційно</w:t>
      </w:r>
      <w:r w:rsidR="004414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4414EF">
        <w:rPr>
          <w:sz w:val="28"/>
          <w:szCs w:val="28"/>
          <w:lang w:val="uk-UA"/>
        </w:rPr>
        <w:t xml:space="preserve"> це</w:t>
      </w:r>
      <w:r>
        <w:rPr>
          <w:sz w:val="28"/>
          <w:szCs w:val="28"/>
          <w:lang w:val="uk-UA"/>
        </w:rPr>
        <w:t xml:space="preserve"> не тільки нагально, а й зручно, швидко</w:t>
      </w:r>
      <w:r w:rsidR="004414EF">
        <w:rPr>
          <w:sz w:val="28"/>
          <w:szCs w:val="28"/>
          <w:lang w:val="uk-UA"/>
        </w:rPr>
        <w:t xml:space="preserve"> і не важко!</w:t>
      </w:r>
      <w:r w:rsidR="00323FD9">
        <w:rPr>
          <w:sz w:val="28"/>
          <w:szCs w:val="28"/>
          <w:lang w:val="uk-UA"/>
        </w:rPr>
        <w:t xml:space="preserve"> Бережіть себе, своїх рідних та близьких.</w:t>
      </w:r>
    </w:p>
    <w:p w:rsidR="00486198" w:rsidRDefault="00486198" w:rsidP="00486198">
      <w:pPr>
        <w:rPr>
          <w:lang w:val="uk-UA"/>
        </w:rPr>
      </w:pPr>
    </w:p>
    <w:p w:rsidR="008D132C" w:rsidRDefault="00486198" w:rsidP="008D132C">
      <w:pPr>
        <w:tabs>
          <w:tab w:val="left" w:pos="2670"/>
        </w:tabs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Головного управління Пенсійного фонду України </w:t>
      </w:r>
      <w:r>
        <w:rPr>
          <w:sz w:val="28"/>
          <w:szCs w:val="28"/>
          <w:lang w:val="uk-UA"/>
        </w:rPr>
        <w:br/>
        <w:t>в Дніпропетровській області</w:t>
      </w:r>
    </w:p>
    <w:p w:rsidR="000443A2" w:rsidRPr="00486198" w:rsidRDefault="00486198" w:rsidP="00323FD9">
      <w:pPr>
        <w:tabs>
          <w:tab w:val="left" w:pos="2670"/>
        </w:tabs>
        <w:ind w:left="5103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Юрій Козак</w:t>
      </w:r>
    </w:p>
    <w:sectPr w:rsidR="000443A2" w:rsidRPr="00486198" w:rsidSect="00D62F1C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497" w:rsidRDefault="00AC3497">
      <w:r>
        <w:separator/>
      </w:r>
    </w:p>
  </w:endnote>
  <w:endnote w:type="continuationSeparator" w:id="0">
    <w:p w:rsidR="00AC3497" w:rsidRDefault="00AC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497" w:rsidRDefault="00AC3497">
      <w:r>
        <w:separator/>
      </w:r>
    </w:p>
  </w:footnote>
  <w:footnote w:type="continuationSeparator" w:id="0">
    <w:p w:rsidR="00AC3497" w:rsidRDefault="00AC3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A2" w:rsidRDefault="009F6A32">
    <w:pPr>
      <w:pStyle w:val="ac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AA03C5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39uwIAAJAFAAAOAAAAZHJzL2Uyb0RvYy54bWysVF1v0zAUfUfiP1h+75L0e9HSqetahDRg&#10;YiCeXdtpLBw72G7TDfHfub5pS8d4QIhWinzj65Nz7j2+V9f7WpOddF5ZU9DsIqVEGm6FMpuCfv60&#10;6k0p8YEZwbQ1sqCP0tPr2etXV22Ty76trBbSEQAxPm+bglYhNHmSeF7JmvkL20gDm6V1NQsQuk0i&#10;HGsBvdZJP03HSWudaJzl0nt4e9tt0hnil6Xk4UNZehmILihwC/h0+FzHZzK7YvnGsaZS/ECD/QOL&#10;mikDHz1B3bLAyNapF1C14s56W4YLbuvElqXiEjWAmiz9Tc1DxRqJWqA4vjmVyf8/WP5+d++IEtA7&#10;SgyroUUfoWjMbLQkWSxP2/gcsh6aexcF+ubO8q+eGLuoIEvOnbNtJZkAUpifPDsQAw9Hybp9ZwWg&#10;s22wWKl96eoICDUge2zI46khch8Ih5fTaX88ooTDTj8d9LFdCcuPRxvnwxtpaxIXBXVAHKHZ7s4H&#10;oA6pxxSkbrUSK6U1Bm6zXmhHdgycscJfVAtH/HmaNqQt6OVgDObhDAzqv+EnniX5c6wUf3/CqlUA&#10;r2tVg7BTEstj8ZZGoBMDU7pbAxFtIlGJLu4EQbQPsMT3UCN02Pf5apROhoNpbzIZDXrDwTLt3UxX&#10;i958kY3Hk+XN4maZ/Yiss2FeKSGkWSKmPxo+G/6doQ5Xr7PqyfIngpGV3YLGh0q0RKjYk8Hosg/O&#10;EgruXH/SqSZMb2BY8OAocTZ8UaFCp8f2R4xn5Zym8X8o5wkdG3X24eSFti5jD6WCSh6rht6Mduxs&#10;vbbiEawJHNB/MMZgUVn3REkLI6GgBmYWJfqtAXNfZsNhnCAYDEcTcCNx5zvr8x1mOAAdRHbBInRz&#10;Z9s4tangSxmqNXYOV6JUaNh4XTpWwDsGcO1RwWFExblyHmPWr0E6+wkAAP//AwBQSwMEFAAGAAgA&#10;AAAhALjnvt3ZAAAAAgEAAA8AAABkcnMvZG93bnJldi54bWxMj8FOwzAQRO9I/IO1lbhRpwQQpNlU&#10;FIjUQzlQ4O7G2ySqvY5itwl8Pc4Jjjszmnmbr0ZrxJl63zpGWMwTEMSV0y3XCJ8f5fUDCB8Ua2Uc&#10;E8I3eVgVlxe5yrQb+J3Ou1CLWMI+UwhNCF0mpa8assrPXUccvYPrrQrx7GupezXEcmvkTZLcS6ta&#10;jguN6ui5oeq4O1mE9aa8226Og7s1L8nbun4t2x/6QryajU9LEIHG8BeGCT+iQxGZ9u7E2guDEB8J&#10;kyomL30EsUdIU5BFLv+jF78AAAD//wMAUEsBAi0AFAAGAAgAAAAhALaDOJL+AAAA4QEAABMAAAAA&#10;AAAAAAAAAAAAAAAAAFtDb250ZW50X1R5cGVzXS54bWxQSwECLQAUAAYACAAAACEAOP0h/9YAAACU&#10;AQAACwAAAAAAAAAAAAAAAAAvAQAAX3JlbHMvLnJlbHNQSwECLQAUAAYACAAAACEAtkft/bsCAACQ&#10;BQAADgAAAAAAAAAAAAAAAAAuAgAAZHJzL2Uyb0RvYy54bWxQSwECLQAUAAYACAAAACEAuOe+3d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A2" w:rsidRDefault="000443A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B42B66"/>
    <w:multiLevelType w:val="hybridMultilevel"/>
    <w:tmpl w:val="90688464"/>
    <w:lvl w:ilvl="0" w:tplc="4E7EA09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98"/>
    <w:rsid w:val="000443A2"/>
    <w:rsid w:val="000C2082"/>
    <w:rsid w:val="00323FD9"/>
    <w:rsid w:val="004414EF"/>
    <w:rsid w:val="00486198"/>
    <w:rsid w:val="00506B0F"/>
    <w:rsid w:val="008D132C"/>
    <w:rsid w:val="009F6A32"/>
    <w:rsid w:val="00AA2A69"/>
    <w:rsid w:val="00AC3497"/>
    <w:rsid w:val="00D6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857B1B5A-00D0-4994-80B3-4C613D17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datepost">
    <w:name w:val="date_post"/>
    <w:basedOn w:val="10"/>
  </w:style>
  <w:style w:type="character" w:styleId="a4">
    <w:name w:val="page number"/>
    <w:basedOn w:val="10"/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character" w:styleId="a7">
    <w:name w:val="Hyperlink"/>
    <w:rPr>
      <w:color w:val="0000FF"/>
      <w:u w:val="single"/>
    </w:rPr>
  </w:style>
  <w:style w:type="character" w:customStyle="1" w:styleId="cs23fb0664">
    <w:name w:val="cs23fb0664"/>
    <w:basedOn w:val="10"/>
  </w:style>
  <w:style w:type="character" w:customStyle="1" w:styleId="cs102784">
    <w:name w:val="cs102784"/>
    <w:basedOn w:val="10"/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8">
    <w:name w:val="List"/>
    <w:basedOn w:val="a0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Вміст рамки"/>
    <w:basedOn w:val="a"/>
  </w:style>
  <w:style w:type="paragraph" w:customStyle="1" w:styleId="cs9eb897a1">
    <w:name w:val="cs9eb897a1"/>
    <w:basedOn w:val="a"/>
    <w:pPr>
      <w:spacing w:before="280" w:after="280"/>
    </w:pPr>
  </w:style>
  <w:style w:type="paragraph" w:styleId="ae">
    <w:name w:val="Balloon Text"/>
    <w:basedOn w:val="a"/>
    <w:link w:val="af"/>
    <w:uiPriority w:val="99"/>
    <w:semiHidden/>
    <w:unhideWhenUsed/>
    <w:rsid w:val="000C208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0C2082"/>
    <w:rPr>
      <w:rFonts w:ascii="Segoe UI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.pfu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3347</Words>
  <Characters>1908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Links>
    <vt:vector size="6" baseType="variant">
      <vt:variant>
        <vt:i4>2621541</vt:i4>
      </vt:variant>
      <vt:variant>
        <vt:i4>0</vt:i4>
      </vt:variant>
      <vt:variant>
        <vt:i4>0</vt:i4>
      </vt:variant>
      <vt:variant>
        <vt:i4>5</vt:i4>
      </vt:variant>
      <vt:variant>
        <vt:lpwstr>https://portal.pfu.gov.ua/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pelina</dc:creator>
  <cp:keywords/>
  <cp:lastModifiedBy>Тамара Чернявська</cp:lastModifiedBy>
  <cp:revision>2</cp:revision>
  <cp:lastPrinted>2020-11-17T12:20:00Z</cp:lastPrinted>
  <dcterms:created xsi:type="dcterms:W3CDTF">2020-11-17T14:48:00Z</dcterms:created>
  <dcterms:modified xsi:type="dcterms:W3CDTF">2020-11-17T14:48:00Z</dcterms:modified>
</cp:coreProperties>
</file>